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8717" w14:textId="5BEFC3B5" w:rsidR="00DE52E7" w:rsidRPr="00DE52E7" w:rsidRDefault="009F24D1" w:rsidP="00DE52E7">
      <w:pPr>
        <w:wordWrap/>
        <w:jc w:val="center"/>
        <w:rPr>
          <w:rFonts w:ascii="Palatino Linotype" w:eastAsiaTheme="minorEastAsia" w:hAnsi="Palatino Linotype" w:cstheme="minorBidi"/>
          <w:color w:val="0F243E" w:themeColor="text2" w:themeShade="80"/>
          <w:sz w:val="36"/>
          <w:szCs w:val="36"/>
        </w:rPr>
      </w:pPr>
      <w:proofErr w:type="spellStart"/>
      <w:r w:rsidRPr="00DE52E7">
        <w:rPr>
          <w:rFonts w:ascii="Palatino Linotype" w:eastAsiaTheme="minorEastAsia" w:hAnsi="Palatino Linotype" w:cstheme="minorBidi"/>
          <w:color w:val="0F243E" w:themeColor="text2" w:themeShade="80"/>
          <w:sz w:val="36"/>
          <w:szCs w:val="36"/>
        </w:rPr>
        <w:t>Chulwoo</w:t>
      </w:r>
      <w:proofErr w:type="spellEnd"/>
      <w:r w:rsidRPr="00DE52E7">
        <w:rPr>
          <w:rFonts w:ascii="Palatino Linotype" w:eastAsiaTheme="minorEastAsia" w:hAnsi="Palatino Linotype" w:cstheme="minorBidi"/>
          <w:color w:val="0F243E" w:themeColor="text2" w:themeShade="80"/>
          <w:sz w:val="36"/>
          <w:szCs w:val="36"/>
        </w:rPr>
        <w:t xml:space="preserve"> Lee</w:t>
      </w:r>
    </w:p>
    <w:p w14:paraId="102B6903" w14:textId="77777777" w:rsidR="00DE52E7" w:rsidRDefault="00DE52E7" w:rsidP="004157DA">
      <w:pPr>
        <w:wordWrap/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</w:pPr>
    </w:p>
    <w:p w14:paraId="77E2CE73" w14:textId="77777777" w:rsidR="00DE52E7" w:rsidRDefault="00DE52E7" w:rsidP="004157DA">
      <w:pPr>
        <w:wordWrap/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</w:pPr>
    </w:p>
    <w:p w14:paraId="2D389523" w14:textId="34A13862" w:rsidR="004157DA" w:rsidRDefault="00DE52E7" w:rsidP="004157DA">
      <w:pPr>
        <w:wordWrap/>
      </w:pPr>
      <w:bookmarkStart w:id="0" w:name="_GoBack"/>
      <w:r>
        <w:rPr>
          <w:rFonts w:ascii="Palatino Linotype" w:eastAsiaTheme="minorEastAsia" w:hAnsi="Palatino Linotype" w:cstheme="minorBidi"/>
          <w:noProof/>
          <w:color w:val="0F243E" w:themeColor="text2" w:themeShade="8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7FCD9E0" wp14:editId="64532497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950386" cy="2600587"/>
            <wp:effectExtent l="0" t="0" r="5715" b="3175"/>
            <wp:wrapTight wrapText="bothSides">
              <wp:wrapPolygon edited="0">
                <wp:start x="0" y="0"/>
                <wp:lineTo x="0" y="21521"/>
                <wp:lineTo x="21523" y="21521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lwoo Lee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86" cy="260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Chulwoo</w:t>
      </w:r>
      <w:proofErr w:type="spellEnd"/>
      <w:r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 Lee </w:t>
      </w:r>
      <w:r w:rsidR="009F24D1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is 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>P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rofessor of 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>L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aw at Yonsei Law School</w:t>
      </w:r>
      <w:r w:rsidR="004157DA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. 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He 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 xml:space="preserve">studied at Seoul National University (LL.B. and LL.M.), Georgetown University Law Center (LL.M.), and the London School of Economics and Political Science (Ph.D.). He held full-time faculty positions at the </w:t>
      </w:r>
      <w:proofErr w:type="spellStart"/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>Hankuk</w:t>
      </w:r>
      <w:proofErr w:type="spellEnd"/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 xml:space="preserve"> University of Foreign Studies and Sungkyunkwan University, and taught at the University of Washington School of Law as Garvey Schubert Barer Visiting Professor of Asian Law (2011). H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i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 xml:space="preserve">s areas of academic interest include law and social theory, social history of law, and citizenship and nationhood. Among his publications are 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“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>Hegemony, Contestation, and Empowerment: The Politics of Law and Society Studies in South Korea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”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 xml:space="preserve"> (</w:t>
      </w:r>
      <w:r w:rsidR="00267B2F" w:rsidRPr="00416804">
        <w:rPr>
          <w:rFonts w:ascii="Palatino Linotype" w:eastAsiaTheme="minorEastAsia" w:hAnsi="Palatino Linotype" w:cstheme="minorBidi" w:hint="eastAsia"/>
          <w:i/>
          <w:color w:val="0F243E" w:themeColor="text2" w:themeShade="80"/>
          <w:sz w:val="22"/>
          <w:szCs w:val="22"/>
        </w:rPr>
        <w:t>Asian Journal of Law and Society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 xml:space="preserve">, 2014), 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“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>H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o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>w Can You Say Y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o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>u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’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>re Korean? Law, Governmentality and National Membership in South Korea</w:t>
      </w:r>
      <w:r w:rsidR="00267B2F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”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 xml:space="preserve"> (</w:t>
      </w:r>
      <w:r w:rsidR="00267B2F" w:rsidRPr="005E476D">
        <w:rPr>
          <w:rFonts w:ascii="Palatino Linotype" w:eastAsiaTheme="minorEastAsia" w:hAnsi="Palatino Linotype" w:cstheme="minorBidi" w:hint="eastAsia"/>
          <w:i/>
          <w:color w:val="0F243E" w:themeColor="text2" w:themeShade="80"/>
          <w:sz w:val="22"/>
          <w:szCs w:val="22"/>
        </w:rPr>
        <w:t>Citizenship Studies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 xml:space="preserve">, 2012), and the </w:t>
      </w:r>
      <w:r w:rsidR="009F24D1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book </w:t>
      </w:r>
      <w:r w:rsidR="009F24D1" w:rsidRPr="009F24D1">
        <w:rPr>
          <w:rFonts w:ascii="Palatino Linotype" w:eastAsiaTheme="minorEastAsia" w:hAnsi="Palatino Linotype" w:cstheme="minorBidi"/>
          <w:i/>
          <w:color w:val="0F243E" w:themeColor="text2" w:themeShade="80"/>
          <w:sz w:val="22"/>
          <w:szCs w:val="22"/>
        </w:rPr>
        <w:t>Immigration Law</w:t>
      </w:r>
      <w:r w:rsidR="009F24D1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 (</w:t>
      </w:r>
      <w:r w:rsidR="004157DA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2016</w:t>
      </w:r>
      <w:r w:rsidR="009F24D1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, corresponding author with nine co-authors). 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 xml:space="preserve">Chulwoo Lee </w:t>
      </w:r>
      <w:r w:rsidR="004157DA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wa</w:t>
      </w:r>
      <w:r w:rsidR="00267B2F">
        <w:rPr>
          <w:rFonts w:ascii="Palatino Linotype" w:eastAsiaTheme="minorEastAsia" w:hAnsi="Palatino Linotype" w:cstheme="minorBidi" w:hint="eastAsia"/>
          <w:color w:val="0F243E" w:themeColor="text2" w:themeShade="80"/>
          <w:sz w:val="22"/>
          <w:szCs w:val="22"/>
        </w:rPr>
        <w:t>s President of the Korean Law and Society Association</w:t>
      </w:r>
      <w:r w:rsidR="008A5437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 and has been</w:t>
      </w:r>
      <w:r w:rsidR="009F24D1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 a member of the Board of Trustees of the Asian Law and Society Association</w:t>
      </w:r>
      <w:r w:rsidR="008A5437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.</w:t>
      </w:r>
      <w:r w:rsidR="009F24D1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 xml:space="preserve"> </w:t>
      </w:r>
      <w:r w:rsidR="004157DA">
        <w:rPr>
          <w:rFonts w:ascii="Palatino Linotype" w:eastAsiaTheme="minorEastAsia" w:hAnsi="Palatino Linotype" w:cstheme="minorBidi"/>
          <w:color w:val="0F243E" w:themeColor="text2" w:themeShade="80"/>
          <w:sz w:val="22"/>
          <w:szCs w:val="22"/>
        </w:rPr>
        <w:t>At Yonsei, he worked as Director of the Institute of Legal Studies until August 2018.</w:t>
      </w:r>
    </w:p>
    <w:p w14:paraId="6EBE1DFA" w14:textId="77777777" w:rsidR="007E20AE" w:rsidRPr="004157DA" w:rsidRDefault="007E20AE" w:rsidP="009F24D1">
      <w:pPr>
        <w:wordWrap/>
      </w:pPr>
    </w:p>
    <w:sectPr w:rsidR="007E20AE" w:rsidRPr="004157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2F"/>
    <w:rsid w:val="00100055"/>
    <w:rsid w:val="00267B2F"/>
    <w:rsid w:val="00385E6D"/>
    <w:rsid w:val="004157DA"/>
    <w:rsid w:val="007E20AE"/>
    <w:rsid w:val="008A5437"/>
    <w:rsid w:val="009A4714"/>
    <w:rsid w:val="009F24D1"/>
    <w:rsid w:val="00A16B70"/>
    <w:rsid w:val="00DD2A55"/>
    <w:rsid w:val="00DE52E7"/>
    <w:rsid w:val="00E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5BC0"/>
  <w15:docId w15:val="{7F3F3A84-7177-4DB6-B928-0C37B64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267B2F"/>
    <w:pPr>
      <w:wordWrap w:val="0"/>
      <w:autoSpaceDE w:val="0"/>
      <w:autoSpaceDN w:val="0"/>
    </w:pPr>
    <w:rPr>
      <w:rFonts w:ascii="Malgun Gothic" w:eastAsia="Malgun Gothic" w:hAnsi="Malgun Gothic" w:cs="Gulim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1FDD-8982-684C-BF74-8BC9CDC6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이철우</dc:creator>
  <cp:lastModifiedBy>Microsoft Office User</cp:lastModifiedBy>
  <cp:revision>7</cp:revision>
  <dcterms:created xsi:type="dcterms:W3CDTF">2018-08-04T14:40:00Z</dcterms:created>
  <dcterms:modified xsi:type="dcterms:W3CDTF">2018-11-04T00:46:00Z</dcterms:modified>
</cp:coreProperties>
</file>